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2D7" w:rsidRPr="007E516C" w:rsidRDefault="005A62D7">
      <w:pPr>
        <w:rPr>
          <w:b/>
        </w:rPr>
      </w:pPr>
      <w:r w:rsidRPr="007E516C">
        <w:rPr>
          <w:b/>
        </w:rPr>
        <w:t>Działalności gospodarcze z PKD 2007, które mogą być wykonywane przez PTT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3"/>
        <w:gridCol w:w="4559"/>
        <w:gridCol w:w="9072"/>
      </w:tblGrid>
      <w:tr w:rsidR="009A4B61" w:rsidRPr="009A4B61" w:rsidTr="007E516C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9A4B61" w:rsidRPr="009A4B61" w:rsidRDefault="009A4B61" w:rsidP="005A6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4B61">
              <w:rPr>
                <w:rFonts w:ascii="Calibri" w:eastAsia="Times New Roman" w:hAnsi="Calibri" w:cs="Calibri"/>
                <w:color w:val="000000"/>
                <w:lang w:eastAsia="pl-PL"/>
              </w:rPr>
              <w:t>58.19.Z</w:t>
            </w:r>
          </w:p>
        </w:tc>
        <w:tc>
          <w:tcPr>
            <w:tcW w:w="4559" w:type="dxa"/>
            <w:shd w:val="clear" w:color="auto" w:fill="auto"/>
            <w:noWrap/>
            <w:hideMark/>
          </w:tcPr>
          <w:p w:rsidR="009A4B61" w:rsidRPr="009A4B61" w:rsidRDefault="009A4B61" w:rsidP="005A6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4B61">
              <w:rPr>
                <w:rFonts w:ascii="Calibri" w:eastAsia="Times New Roman" w:hAnsi="Calibri" w:cs="Calibri"/>
                <w:color w:val="000000"/>
                <w:lang w:eastAsia="pl-PL"/>
              </w:rPr>
              <w:t>Pozostała działalność wydawnicza</w:t>
            </w:r>
          </w:p>
        </w:tc>
        <w:tc>
          <w:tcPr>
            <w:tcW w:w="9072" w:type="dxa"/>
          </w:tcPr>
          <w:p w:rsidR="009A4B61" w:rsidRPr="007E516C" w:rsidRDefault="00644E1B" w:rsidP="009A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Podklasa ta obejmuje: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wydawanie, włączając udostępnianie w trybie on-line: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katalogów,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materiałów reklamowych,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fotografii, rycin i pocztówek,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kartek z życzeniami,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formularzy,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plakatów, reprodukcji dzieł sztuki,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pozostałych wyrobów drukowanych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wydawanie (udostępnianie) danych statystycznych i innych informacji w trybie on-line</w:t>
            </w:r>
          </w:p>
        </w:tc>
      </w:tr>
      <w:tr w:rsidR="009A4B61" w:rsidRPr="009A4B61" w:rsidTr="007E516C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9A4B61" w:rsidRPr="009A4B61" w:rsidRDefault="009A4B61" w:rsidP="005A6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4B61">
              <w:rPr>
                <w:rFonts w:ascii="Calibri" w:eastAsia="Times New Roman" w:hAnsi="Calibri" w:cs="Calibri"/>
                <w:color w:val="000000"/>
                <w:lang w:eastAsia="pl-PL"/>
              </w:rPr>
              <w:t>63.12.Z</w:t>
            </w:r>
          </w:p>
        </w:tc>
        <w:tc>
          <w:tcPr>
            <w:tcW w:w="4559" w:type="dxa"/>
            <w:shd w:val="clear" w:color="auto" w:fill="auto"/>
            <w:noWrap/>
            <w:hideMark/>
          </w:tcPr>
          <w:p w:rsidR="009A4B61" w:rsidRPr="009A4B61" w:rsidRDefault="009A4B61" w:rsidP="005A6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4B61">
              <w:rPr>
                <w:rFonts w:ascii="Calibri" w:eastAsia="Times New Roman" w:hAnsi="Calibri" w:cs="Calibri"/>
                <w:color w:val="000000"/>
                <w:lang w:eastAsia="pl-PL"/>
              </w:rPr>
              <w:t>Działalność portali internetowych</w:t>
            </w:r>
          </w:p>
        </w:tc>
        <w:tc>
          <w:tcPr>
            <w:tcW w:w="9072" w:type="dxa"/>
          </w:tcPr>
          <w:p w:rsidR="009A4B61" w:rsidRPr="007E516C" w:rsidRDefault="00644E1B" w:rsidP="009A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Podklasa ta obejmuje: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działanie witryn internetowych, które wykorzystują wyszukiwarki, aby generować i utrzymywać obszerne bazy danych internetowych adresów i treści w formacie łatwym do wyszukania,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działanie pozostałych witryn internetowych, które działają jak portale internetowe, tj.: strony mediów dostarczających aktualne informacje.</w:t>
            </w:r>
          </w:p>
        </w:tc>
      </w:tr>
      <w:tr w:rsidR="009A4B61" w:rsidRPr="009A4B61" w:rsidTr="007E516C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9A4B61" w:rsidRPr="009A4B61" w:rsidRDefault="009A4B61" w:rsidP="005A6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4B61">
              <w:rPr>
                <w:rFonts w:ascii="Calibri" w:eastAsia="Times New Roman" w:hAnsi="Calibri" w:cs="Calibri"/>
                <w:color w:val="000000"/>
                <w:lang w:eastAsia="pl-PL"/>
              </w:rPr>
              <w:t>73.12.C</w:t>
            </w:r>
          </w:p>
        </w:tc>
        <w:tc>
          <w:tcPr>
            <w:tcW w:w="4559" w:type="dxa"/>
            <w:shd w:val="clear" w:color="auto" w:fill="auto"/>
            <w:noWrap/>
            <w:hideMark/>
          </w:tcPr>
          <w:p w:rsidR="009A4B61" w:rsidRPr="009A4B61" w:rsidRDefault="009A4B61" w:rsidP="005A6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4B61">
              <w:rPr>
                <w:rFonts w:ascii="Calibri" w:eastAsia="Times New Roman" w:hAnsi="Calibri" w:cs="Calibri"/>
                <w:color w:val="000000"/>
                <w:lang w:eastAsia="pl-PL"/>
              </w:rPr>
              <w:t>Pośrednictwo w sprzedaży miejsca na cele reklamowe w mediach elektronicznych (Internet)</w:t>
            </w:r>
          </w:p>
        </w:tc>
        <w:tc>
          <w:tcPr>
            <w:tcW w:w="9072" w:type="dxa"/>
          </w:tcPr>
          <w:p w:rsidR="009A4B61" w:rsidRPr="007E516C" w:rsidRDefault="009A4B61" w:rsidP="009A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A4B61" w:rsidRPr="009A4B61" w:rsidTr="007E516C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9A4B61" w:rsidRPr="009A4B61" w:rsidRDefault="009A4B61" w:rsidP="005A6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4B61">
              <w:rPr>
                <w:rFonts w:ascii="Calibri" w:eastAsia="Times New Roman" w:hAnsi="Calibri" w:cs="Calibri"/>
                <w:color w:val="000000"/>
                <w:lang w:eastAsia="pl-PL"/>
              </w:rPr>
              <w:t>82.99.Z</w:t>
            </w:r>
          </w:p>
        </w:tc>
        <w:tc>
          <w:tcPr>
            <w:tcW w:w="4559" w:type="dxa"/>
            <w:shd w:val="clear" w:color="auto" w:fill="auto"/>
            <w:noWrap/>
            <w:hideMark/>
          </w:tcPr>
          <w:p w:rsidR="009A4B61" w:rsidRPr="009A4B61" w:rsidRDefault="009A4B61" w:rsidP="005A6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4B61">
              <w:rPr>
                <w:rFonts w:ascii="Calibri" w:eastAsia="Times New Roman" w:hAnsi="Calibri" w:cs="Calibri"/>
                <w:color w:val="000000"/>
                <w:lang w:eastAsia="pl-PL"/>
              </w:rPr>
              <w:t>Pozostała działalność wspomagająca prowadzenie działalności gospodarczej, gdzie indziej niesklasyfikowana</w:t>
            </w:r>
          </w:p>
        </w:tc>
        <w:tc>
          <w:tcPr>
            <w:tcW w:w="9072" w:type="dxa"/>
          </w:tcPr>
          <w:p w:rsidR="009A4B61" w:rsidRPr="007E516C" w:rsidRDefault="00644E1B" w:rsidP="009A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Podklasa ta obejmuje działalności usługowe pomocnicze, takie jak: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sporządzanie dosłownej relacji i stenotypii z przebiegu postępowania sądowego, na żywo oraz przepisywanie zarejestrowanych materiałów, przykładowo: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sporządzenie protokołu z przebiegu postępowania sądowego oraz usługi stenotypii,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usługi stenografii ogólnie dostępne,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tworzenie napisów w czasie rzeczywistym (symultanicznie) dla transmisji telewizyjnych na żywo z różnych spotkań,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wykonywanie adresowych kodów kreskowych,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wdrukowywanie kodów kreskowych,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organizowanie zbiórki pieniędzy, gromadzenie funduszy, wykonywane na zlecenie,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odzyskiwanie własności (rzeczy, nieruchomości),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zbieranie monet z parkomatów,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działalność niezależnych licytatorów,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zarządzanie programami lojalnościowymi,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odczytywanie wskazań gazomierzy, liczników wody i elektryczności,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pozostałą działalność komercyjną wspomagającą prowadzenie działalności gospodarczej, gdzie indziej niesklasyfikowaną.</w:t>
            </w:r>
          </w:p>
        </w:tc>
      </w:tr>
      <w:tr w:rsidR="009A4B61" w:rsidRPr="009A4B61" w:rsidTr="007E516C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9A4B61" w:rsidRPr="009A4B61" w:rsidRDefault="009A4B61" w:rsidP="005A6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4B61">
              <w:rPr>
                <w:rFonts w:ascii="Calibri" w:eastAsia="Times New Roman" w:hAnsi="Calibri" w:cs="Calibri"/>
                <w:color w:val="000000"/>
                <w:lang w:eastAsia="pl-PL"/>
              </w:rPr>
              <w:t>85.51.Z</w:t>
            </w:r>
          </w:p>
        </w:tc>
        <w:tc>
          <w:tcPr>
            <w:tcW w:w="4559" w:type="dxa"/>
            <w:shd w:val="clear" w:color="auto" w:fill="auto"/>
            <w:noWrap/>
            <w:hideMark/>
          </w:tcPr>
          <w:p w:rsidR="009A4B61" w:rsidRPr="009A4B61" w:rsidRDefault="009A4B61" w:rsidP="005A6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4B61">
              <w:rPr>
                <w:rFonts w:ascii="Calibri" w:eastAsia="Times New Roman" w:hAnsi="Calibri" w:cs="Calibri"/>
                <w:color w:val="000000"/>
                <w:lang w:eastAsia="pl-PL"/>
              </w:rPr>
              <w:t>Pozaszkolne formy edukacji sportowej oraz zajęć sportowych i rekreacyjnych</w:t>
            </w:r>
          </w:p>
        </w:tc>
        <w:tc>
          <w:tcPr>
            <w:tcW w:w="9072" w:type="dxa"/>
          </w:tcPr>
          <w:p w:rsidR="009A4B61" w:rsidRPr="007E516C" w:rsidRDefault="00644E1B" w:rsidP="009A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Podklasa ta obejmuje kursy, zajęcia sportowe i rekreacyjne dla grup i osób indywidualnych.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Zajęcia mogą być prowadzone w szkołach, na obozach, obiektach własnych jednostki nauczającej, obiektach klienta lub innych obiektach, włączając zakwaterowanie.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Kursy i zajęcia ujęte w tej podklasie mają charakter formalnie zorganizowany.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Podklasa ta obejmuje: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zajęcia sportowe (siatkówkę, koszykówkę, piłkę nożną itp.),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- obozy sportowe,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zajęcia gimnastyczne,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szkoły nauki jazdy konnej,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naukę pływania,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działalność profesjonalnych instruktorów sportowych, nauczycieli i trenerów,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kursy sztuk walki, kursy jogi,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kursy gry w karty (np. brydż).</w:t>
            </w:r>
          </w:p>
        </w:tc>
      </w:tr>
      <w:tr w:rsidR="009A4B61" w:rsidRPr="009A4B61" w:rsidTr="007E516C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9A4B61" w:rsidRPr="009A4B61" w:rsidRDefault="009A4B61" w:rsidP="005A6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4B6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85.52.Z</w:t>
            </w:r>
          </w:p>
        </w:tc>
        <w:tc>
          <w:tcPr>
            <w:tcW w:w="4559" w:type="dxa"/>
            <w:shd w:val="clear" w:color="auto" w:fill="auto"/>
            <w:noWrap/>
            <w:hideMark/>
          </w:tcPr>
          <w:p w:rsidR="009A4B61" w:rsidRPr="009A4B61" w:rsidRDefault="009A4B61" w:rsidP="005A6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4B61">
              <w:rPr>
                <w:rFonts w:ascii="Calibri" w:eastAsia="Times New Roman" w:hAnsi="Calibri" w:cs="Calibri"/>
                <w:color w:val="000000"/>
                <w:lang w:eastAsia="pl-PL"/>
              </w:rPr>
              <w:t>Pozaszkolne formy edukacji artystycznej</w:t>
            </w:r>
          </w:p>
        </w:tc>
        <w:tc>
          <w:tcPr>
            <w:tcW w:w="9072" w:type="dxa"/>
          </w:tcPr>
          <w:p w:rsidR="009A4B61" w:rsidRPr="007E516C" w:rsidRDefault="00644E1B" w:rsidP="009A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Podklasa ta obejmuje kursy i zajęcia w zakresie sztuki, teatru oraz muzyki. Jednostki prowadzące ten rodzaj nauczania mogą być nazywane „szkołami”, „studiami”, „klasami” itp. Zapewniają one formalnie zorganizowane zajęcia związane z hobby, rekreacją lub rozwojem własnym. Nie prowadzą one do uzyskania dyplomu zawodowego, licencjata czy stopnia naukowego.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Podklasa ta obejmuje: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naukę gry na instrumentach muzycznych i inne zajęcia muzyczne,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zajęcia z dziedziny sztuki,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kursy tańca,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szkoły teatralne, z wyłączeniem akademickich,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szkoły sztuk pięknych, z wyłączeniem akademickich,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szkoły sztuk widowiskowych, z wyłączeniem akademickich,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kursy fotograficzne, z wyłączeniem fotografii profesjonalnej.</w:t>
            </w:r>
          </w:p>
        </w:tc>
      </w:tr>
      <w:tr w:rsidR="009A4B61" w:rsidRPr="009A4B61" w:rsidTr="007E516C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9A4B61" w:rsidRPr="009A4B61" w:rsidRDefault="009A4B61" w:rsidP="005A6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4B61">
              <w:rPr>
                <w:rFonts w:ascii="Calibri" w:eastAsia="Times New Roman" w:hAnsi="Calibri" w:cs="Calibri"/>
                <w:color w:val="000000"/>
                <w:lang w:eastAsia="pl-PL"/>
              </w:rPr>
              <w:t>85.59.B</w:t>
            </w:r>
          </w:p>
        </w:tc>
        <w:tc>
          <w:tcPr>
            <w:tcW w:w="4559" w:type="dxa"/>
            <w:shd w:val="clear" w:color="auto" w:fill="auto"/>
            <w:noWrap/>
            <w:hideMark/>
          </w:tcPr>
          <w:p w:rsidR="009A4B61" w:rsidRPr="009A4B61" w:rsidRDefault="009A4B61" w:rsidP="005A6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4B61">
              <w:rPr>
                <w:rFonts w:ascii="Calibri" w:eastAsia="Times New Roman" w:hAnsi="Calibri" w:cs="Calibri"/>
                <w:color w:val="000000"/>
                <w:lang w:eastAsia="pl-PL"/>
              </w:rPr>
              <w:t>Pozostałe pozaszkolne formy edukacji, gdzie indziej niesklasyfikowane</w:t>
            </w:r>
          </w:p>
        </w:tc>
        <w:tc>
          <w:tcPr>
            <w:tcW w:w="9072" w:type="dxa"/>
          </w:tcPr>
          <w:p w:rsidR="009A4B61" w:rsidRPr="007E516C" w:rsidRDefault="00644E1B" w:rsidP="009A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Podklasa ta obejmuje: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edukację, w której nie da się zdefiniować poziomu nauczania,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działalność placówek kształcenia praktycznego, ustawicznego oraz ośrodków dokształcania i doskonalenia zawodowego,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korepetycje, włączając korepetycje z języków obcych,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działalność ośrodków prowadzących kursy wyrównawcze,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kursy przygotowujące do egzaminu z wiedzy zawodowej,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kursy komputerowe,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naukę religii,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kursy udzielania pierwszej pomocy,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szkoły przetrwania,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szkolenia z zakresu komunikacji werbalnej i niewerbalnej,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kursy szybkiego czytania,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pozostałe pozaszkolne formy edukacji związane głównie z rozwijaniem własnych zainteresowań oraz doskonaleniem zawodowym.</w:t>
            </w:r>
          </w:p>
        </w:tc>
      </w:tr>
      <w:tr w:rsidR="009A4B61" w:rsidRPr="009A4B61" w:rsidTr="007E516C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9A4B61" w:rsidRPr="009A4B61" w:rsidRDefault="009A4B61" w:rsidP="005A6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4B61">
              <w:rPr>
                <w:rFonts w:ascii="Calibri" w:eastAsia="Times New Roman" w:hAnsi="Calibri" w:cs="Calibri"/>
                <w:color w:val="000000"/>
                <w:lang w:eastAsia="pl-PL"/>
              </w:rPr>
              <w:t>90.01.Z</w:t>
            </w:r>
          </w:p>
        </w:tc>
        <w:tc>
          <w:tcPr>
            <w:tcW w:w="4559" w:type="dxa"/>
            <w:shd w:val="clear" w:color="auto" w:fill="auto"/>
            <w:noWrap/>
            <w:hideMark/>
          </w:tcPr>
          <w:p w:rsidR="009A4B61" w:rsidRPr="009A4B61" w:rsidRDefault="009A4B61" w:rsidP="005A6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4B61">
              <w:rPr>
                <w:rFonts w:ascii="Calibri" w:eastAsia="Times New Roman" w:hAnsi="Calibri" w:cs="Calibri"/>
                <w:color w:val="000000"/>
                <w:lang w:eastAsia="pl-PL"/>
              </w:rPr>
              <w:t>Działalność związana z wystawianiem przedstawień artystycznych</w:t>
            </w:r>
          </w:p>
        </w:tc>
        <w:tc>
          <w:tcPr>
            <w:tcW w:w="9072" w:type="dxa"/>
          </w:tcPr>
          <w:p w:rsidR="009A4B61" w:rsidRPr="007E516C" w:rsidRDefault="00644E1B" w:rsidP="009A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Podklasa ta obejmuje wystawianie przedstawień teatralnych, operowych, baletowych, musicalowych i innych: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działalność grup cyrkowych, orkiestr i zespołów muzycznych,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działalność indywidualnych artystów takich jak: aktorzy, tancerze, piosenkarze, lektorzy lub prezenterzy.</w:t>
            </w:r>
          </w:p>
        </w:tc>
      </w:tr>
      <w:tr w:rsidR="009A4B61" w:rsidRPr="009A4B61" w:rsidTr="007E516C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9A4B61" w:rsidRPr="009A4B61" w:rsidRDefault="009A4B61" w:rsidP="005A6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4B61">
              <w:rPr>
                <w:rFonts w:ascii="Calibri" w:eastAsia="Times New Roman" w:hAnsi="Calibri" w:cs="Calibri"/>
                <w:color w:val="000000"/>
                <w:lang w:eastAsia="pl-PL"/>
              </w:rPr>
              <w:t>90.02.Z</w:t>
            </w:r>
          </w:p>
        </w:tc>
        <w:tc>
          <w:tcPr>
            <w:tcW w:w="4559" w:type="dxa"/>
            <w:shd w:val="clear" w:color="auto" w:fill="auto"/>
            <w:noWrap/>
            <w:hideMark/>
          </w:tcPr>
          <w:p w:rsidR="009A4B61" w:rsidRPr="009A4B61" w:rsidRDefault="009A4B61" w:rsidP="005A6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4B61">
              <w:rPr>
                <w:rFonts w:ascii="Calibri" w:eastAsia="Times New Roman" w:hAnsi="Calibri" w:cs="Calibri"/>
                <w:color w:val="000000"/>
                <w:lang w:eastAsia="pl-PL"/>
              </w:rPr>
              <w:t>Działalność wspomagająca wystawianie przedstawień artystycznych</w:t>
            </w:r>
          </w:p>
        </w:tc>
        <w:tc>
          <w:tcPr>
            <w:tcW w:w="9072" w:type="dxa"/>
          </w:tcPr>
          <w:p w:rsidR="009A4B61" w:rsidRPr="007E516C" w:rsidRDefault="00644E1B" w:rsidP="009A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Podklasa ta obejmuje: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działalność wspomagającą wystawianie przedstawień teatralnych, operowych, baletowych, musicalowych i innych: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- działalność reżyserów, producentów, scenografów, projektantów i wykonawców teatralnych dekoracji 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scenicznych, maszynistów sceny, specjalistów od oświetlenia sceny, konferansjerów itd.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działalność producentów przedstawień artystycznych, w obiektach lub poza nimi.</w:t>
            </w:r>
          </w:p>
        </w:tc>
      </w:tr>
      <w:tr w:rsidR="009A4B61" w:rsidRPr="009A4B61" w:rsidTr="007E516C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9A4B61" w:rsidRPr="009A4B61" w:rsidRDefault="009A4B61" w:rsidP="005A6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4B6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93.11.Z</w:t>
            </w:r>
          </w:p>
        </w:tc>
        <w:tc>
          <w:tcPr>
            <w:tcW w:w="4559" w:type="dxa"/>
            <w:shd w:val="clear" w:color="auto" w:fill="auto"/>
            <w:noWrap/>
            <w:hideMark/>
          </w:tcPr>
          <w:p w:rsidR="009A4B61" w:rsidRPr="009A4B61" w:rsidRDefault="009A4B61" w:rsidP="005A6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4B61">
              <w:rPr>
                <w:rFonts w:ascii="Calibri" w:eastAsia="Times New Roman" w:hAnsi="Calibri" w:cs="Calibri"/>
                <w:color w:val="000000"/>
                <w:lang w:eastAsia="pl-PL"/>
              </w:rPr>
              <w:t>Działalność obiektów sportowych</w:t>
            </w:r>
          </w:p>
        </w:tc>
        <w:tc>
          <w:tcPr>
            <w:tcW w:w="9072" w:type="dxa"/>
          </w:tcPr>
          <w:p w:rsidR="009A4B61" w:rsidRPr="007E516C" w:rsidRDefault="00644E1B" w:rsidP="009A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Podklasa ta obejmuje: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działalność obiektów sportowych na otwartym powietrzu lub obiektów sportowych halowych (otwartych, zamkniętych lub zadaszonych, z miejscami siedzącymi dla widzów lub bez, tj.: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stadiony do gry w piłkę nożną,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stadiony do gry w krykieta, rugby,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tory wyścigowe dla samochodów, psów, koni,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baseny,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stadiony lekkoatletyczne,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hale i stadiony przeznaczone dla sportów zimowych, włączając hale do gry w hokeja,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hale bokserskie,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pola golfowe,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tory do gry w kręgle,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pozostałe obiekty sportowe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organizowanie i przeprowadzanie imprez sportowych dla sportowców zawodowych lub amatorów z wykorzystaniem własnych, otwartych lub zamkniętych obiektów sportowych,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zarządzanie i zapewnienie pracowników do obsługi tych obiektów.</w:t>
            </w:r>
          </w:p>
        </w:tc>
      </w:tr>
      <w:tr w:rsidR="009A4B61" w:rsidRPr="009A4B61" w:rsidTr="007E516C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9A4B61" w:rsidRPr="009A4B61" w:rsidRDefault="009A4B61" w:rsidP="005A6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4B61">
              <w:rPr>
                <w:rFonts w:ascii="Calibri" w:eastAsia="Times New Roman" w:hAnsi="Calibri" w:cs="Calibri"/>
                <w:color w:val="000000"/>
                <w:lang w:eastAsia="pl-PL"/>
              </w:rPr>
              <w:t>93.12.Z</w:t>
            </w:r>
          </w:p>
        </w:tc>
        <w:tc>
          <w:tcPr>
            <w:tcW w:w="4559" w:type="dxa"/>
            <w:shd w:val="clear" w:color="auto" w:fill="auto"/>
            <w:noWrap/>
            <w:hideMark/>
          </w:tcPr>
          <w:p w:rsidR="009A4B61" w:rsidRPr="009A4B61" w:rsidRDefault="009A4B61" w:rsidP="005A6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4B61">
              <w:rPr>
                <w:rFonts w:ascii="Calibri" w:eastAsia="Times New Roman" w:hAnsi="Calibri" w:cs="Calibri"/>
                <w:color w:val="000000"/>
                <w:lang w:eastAsia="pl-PL"/>
              </w:rPr>
              <w:t>Działalność klubów sportowych</w:t>
            </w:r>
          </w:p>
        </w:tc>
        <w:tc>
          <w:tcPr>
            <w:tcW w:w="9072" w:type="dxa"/>
          </w:tcPr>
          <w:p w:rsidR="009A4B61" w:rsidRPr="007E516C" w:rsidRDefault="00644E1B" w:rsidP="009A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Podklasa obejmuje działalność klubów sportowych zawodowych lub amatorskich, takich jak: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kluby piłkarskie,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kluby pływackie,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kluby bokserskie,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kluby lekkoatletyczne,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kluby strzeleckie,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kluby sportów zimowych,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kluby golfowe,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kluby kręglarskie,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kluby szachowe itd.</w:t>
            </w:r>
          </w:p>
        </w:tc>
      </w:tr>
      <w:tr w:rsidR="009A4B61" w:rsidRPr="009A4B61" w:rsidTr="007E516C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9A4B61" w:rsidRPr="009A4B61" w:rsidRDefault="009A4B61" w:rsidP="005A6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4B61">
              <w:rPr>
                <w:rFonts w:ascii="Calibri" w:eastAsia="Times New Roman" w:hAnsi="Calibri" w:cs="Calibri"/>
                <w:color w:val="000000"/>
                <w:lang w:eastAsia="pl-PL"/>
              </w:rPr>
              <w:t>93.19.Z</w:t>
            </w:r>
          </w:p>
        </w:tc>
        <w:tc>
          <w:tcPr>
            <w:tcW w:w="4559" w:type="dxa"/>
            <w:shd w:val="clear" w:color="auto" w:fill="auto"/>
            <w:noWrap/>
            <w:hideMark/>
          </w:tcPr>
          <w:p w:rsidR="009A4B61" w:rsidRPr="009A4B61" w:rsidRDefault="009A4B61" w:rsidP="005A6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4B61">
              <w:rPr>
                <w:rFonts w:ascii="Calibri" w:eastAsia="Times New Roman" w:hAnsi="Calibri" w:cs="Calibri"/>
                <w:color w:val="000000"/>
                <w:lang w:eastAsia="pl-PL"/>
              </w:rPr>
              <w:t>Pozostała działalność związana ze sportem</w:t>
            </w:r>
          </w:p>
        </w:tc>
        <w:tc>
          <w:tcPr>
            <w:tcW w:w="9072" w:type="dxa"/>
          </w:tcPr>
          <w:p w:rsidR="009A4B61" w:rsidRPr="007E516C" w:rsidRDefault="00644E1B" w:rsidP="009A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Podklasa ta obejmuje: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działalność producentów i sponsorów wydarzeń sportowych, w obiektach lub poza nimi,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działalność indywidualnych sportowców, sędziów, chronometrażystów itd.,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działalność związaną z organizacją lig sportowych,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działalność związaną z promocją imprez sportowych,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działalność przewodników górskich.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działalność stajni wyścigowych, ośrodków hodowli i tresury psów wyścigowych,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działalność wspomagającą łowiectwo i wędkarstwo sportowe lub rekreacyjne.</w:t>
            </w:r>
          </w:p>
        </w:tc>
      </w:tr>
      <w:tr w:rsidR="009A4B61" w:rsidRPr="009A4B61" w:rsidTr="007E516C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9A4B61" w:rsidRPr="009A4B61" w:rsidRDefault="009A4B61" w:rsidP="005A6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4B61">
              <w:rPr>
                <w:rFonts w:ascii="Calibri" w:eastAsia="Times New Roman" w:hAnsi="Calibri" w:cs="Calibri"/>
                <w:color w:val="000000"/>
                <w:lang w:eastAsia="pl-PL"/>
              </w:rPr>
              <w:t>93.29.Z</w:t>
            </w:r>
          </w:p>
        </w:tc>
        <w:tc>
          <w:tcPr>
            <w:tcW w:w="4559" w:type="dxa"/>
            <w:shd w:val="clear" w:color="auto" w:fill="auto"/>
            <w:noWrap/>
            <w:hideMark/>
          </w:tcPr>
          <w:p w:rsidR="009A4B61" w:rsidRPr="009A4B61" w:rsidRDefault="009A4B61" w:rsidP="005A6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4B61">
              <w:rPr>
                <w:rFonts w:ascii="Calibri" w:eastAsia="Times New Roman" w:hAnsi="Calibri" w:cs="Calibri"/>
                <w:color w:val="000000"/>
                <w:lang w:eastAsia="pl-PL"/>
              </w:rPr>
              <w:t>Pozostała działalność rozrywkowa i rekreacyjna</w:t>
            </w:r>
          </w:p>
        </w:tc>
        <w:tc>
          <w:tcPr>
            <w:tcW w:w="9072" w:type="dxa"/>
          </w:tcPr>
          <w:p w:rsidR="009A4B61" w:rsidRPr="007E516C" w:rsidRDefault="00644E1B" w:rsidP="009A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Podklasa ta obejmuje pozostałą działalność rozrywkową i rekreacyjną, gdzie indziej niesklasyfikowaną (z wyłączeniem działalności wesołych miasteczek i parków rozrywki), taką jak: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eksploatacja automatów do gier zręcznościowych, nawet na monety,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działalność parków rekreacyjnych (bez zakwaterowania),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transport rekreacyjny, np. działalność przystani jachtowych,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obsługa stoków narciarskich,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wypożyczanie sprzętu rekreacyjnego stanowiącego integralną część obiektu rekreacyjnego,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- działalność jarmarków i widowisk o charakterze rekreacyjnym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działalność plaż, włączając wynajmowanie przebieralni, szafek na ubrania, wypożyczanie leżaków, itd.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działalność miejsc do tańczenia (np. dyskoteki, sale taneczne),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działalność producentów i sponsorów przedstawień na żywo, innych niż artystyczne lub sportowe, w obiektach lub poza nimi.</w:t>
            </w:r>
          </w:p>
        </w:tc>
      </w:tr>
      <w:tr w:rsidR="009A4B61" w:rsidRPr="009A4B61" w:rsidTr="007E516C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9A4B61" w:rsidRPr="009A4B61" w:rsidRDefault="009A4B61" w:rsidP="005A6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4B6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94.99.Z</w:t>
            </w:r>
          </w:p>
        </w:tc>
        <w:tc>
          <w:tcPr>
            <w:tcW w:w="4559" w:type="dxa"/>
            <w:shd w:val="clear" w:color="auto" w:fill="auto"/>
            <w:noWrap/>
            <w:hideMark/>
          </w:tcPr>
          <w:p w:rsidR="009A4B61" w:rsidRPr="009A4B61" w:rsidRDefault="009A4B61" w:rsidP="005A6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4B61">
              <w:rPr>
                <w:rFonts w:ascii="Calibri" w:eastAsia="Times New Roman" w:hAnsi="Calibri" w:cs="Calibri"/>
                <w:color w:val="000000"/>
                <w:lang w:eastAsia="pl-PL"/>
              </w:rPr>
              <w:t>Działalność pozostałych organizacji członkowskich, gdzie indziej niesklasyfikowana</w:t>
            </w:r>
          </w:p>
        </w:tc>
        <w:tc>
          <w:tcPr>
            <w:tcW w:w="9072" w:type="dxa"/>
          </w:tcPr>
          <w:p w:rsidR="009A4B61" w:rsidRPr="007E516C" w:rsidRDefault="00644E1B" w:rsidP="009A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Podklasa ta obejmuje: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działalność organizacji niezwiązanych bezpośrednio z partią polityczną, wspierających inicjatywy społeczne poprzez edukację, wpływy polityczne, gromadzenie funduszy itp., takich jak: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organizacje wspierające inicjatywy mieszkańców lub ruchy protestacyjne,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organizacje ekologiczne i działające w celu ochrony środowiska,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organizacje wspierające działalność stowarzyszeń regionalnych i edukacyjnych, gdzie indziej niesklasyfikowane,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organizacje mające na celu ochronę i poprawę sytuacji pewnych grup specjalnych, np. grup etnicznych i mniejszościowych,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stowarzyszenia patriotyczne, włączając stowarzyszenia kombatantów,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działalność stowarzyszeń konsumentów,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działalność związków motorowych,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działalność stowarzyszeń kultywujących kontakty towarzyskie, takie jak kluby rotariańskie, loże itp.,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działalność związków młodzieżowych, organizacji studenckich, klubów i bractw itp.,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działalność stowarzyszeń agitujących do działalności kulturalnej, rekreacyjnej oraz hobbystycznej (innej niż sporty i gry), np.: koła poetyckie i literackie, kluby książki, kluby historyczne, koła działkowców, kluby filmowe, koła fotograficzne, muzyczne i artystyczne, kluby kolekcjonerskie, kluby środowiskowe itp.,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działania wspierające myślistwo i łowiectwo,</w:t>
            </w:r>
            <w:r w:rsidRPr="007E51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- działalność związaną z przyznawaniem dotacji przez organizacje członkowskie i inne.</w:t>
            </w:r>
          </w:p>
        </w:tc>
      </w:tr>
      <w:tr w:rsidR="009A4B61" w:rsidRPr="009A4B61" w:rsidTr="007E516C">
        <w:trPr>
          <w:trHeight w:val="300"/>
        </w:trPr>
        <w:tc>
          <w:tcPr>
            <w:tcW w:w="823" w:type="dxa"/>
            <w:shd w:val="clear" w:color="auto" w:fill="auto"/>
            <w:noWrap/>
            <w:hideMark/>
          </w:tcPr>
          <w:p w:rsidR="009A4B61" w:rsidRPr="009A4B61" w:rsidRDefault="009A4B61" w:rsidP="005A6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4B61">
              <w:rPr>
                <w:rFonts w:ascii="Calibri" w:eastAsia="Times New Roman" w:hAnsi="Calibri" w:cs="Calibri"/>
                <w:color w:val="000000"/>
                <w:lang w:eastAsia="pl-PL"/>
              </w:rPr>
              <w:t>96.09.Z</w:t>
            </w:r>
          </w:p>
        </w:tc>
        <w:tc>
          <w:tcPr>
            <w:tcW w:w="4559" w:type="dxa"/>
            <w:shd w:val="clear" w:color="auto" w:fill="auto"/>
            <w:noWrap/>
            <w:hideMark/>
          </w:tcPr>
          <w:p w:rsidR="009A4B61" w:rsidRPr="009A4B61" w:rsidRDefault="009A4B61" w:rsidP="005A6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A4B61">
              <w:rPr>
                <w:rFonts w:ascii="Calibri" w:eastAsia="Times New Roman" w:hAnsi="Calibri" w:cs="Calibri"/>
                <w:color w:val="000000"/>
                <w:lang w:eastAsia="pl-PL"/>
              </w:rPr>
              <w:t>Pozostała działalność usługowa, gdzie indziej niesklasyfikowana</w:t>
            </w:r>
          </w:p>
        </w:tc>
        <w:tc>
          <w:tcPr>
            <w:tcW w:w="9072" w:type="dxa"/>
          </w:tcPr>
          <w:p w:rsidR="009A4B61" w:rsidRPr="007E516C" w:rsidRDefault="009A4B61" w:rsidP="009A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68197B" w:rsidRPr="009A4B61" w:rsidTr="007E516C">
        <w:trPr>
          <w:trHeight w:val="300"/>
        </w:trPr>
        <w:tc>
          <w:tcPr>
            <w:tcW w:w="823" w:type="dxa"/>
            <w:shd w:val="clear" w:color="auto" w:fill="auto"/>
            <w:noWrap/>
          </w:tcPr>
          <w:p w:rsidR="0068197B" w:rsidRPr="009A4B61" w:rsidRDefault="0068197B" w:rsidP="005A6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197B">
              <w:rPr>
                <w:rFonts w:ascii="Calibri" w:eastAsia="Times New Roman" w:hAnsi="Calibri" w:cs="Calibri"/>
                <w:color w:val="000000"/>
                <w:lang w:eastAsia="pl-PL"/>
              </w:rPr>
              <w:t>47.11.Z</w:t>
            </w:r>
          </w:p>
        </w:tc>
        <w:tc>
          <w:tcPr>
            <w:tcW w:w="4559" w:type="dxa"/>
            <w:shd w:val="clear" w:color="auto" w:fill="auto"/>
            <w:noWrap/>
          </w:tcPr>
          <w:p w:rsidR="0068197B" w:rsidRPr="009A4B61" w:rsidRDefault="0068197B" w:rsidP="005A6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197B">
              <w:rPr>
                <w:rFonts w:ascii="Calibri" w:eastAsia="Times New Roman" w:hAnsi="Calibri" w:cs="Calibri"/>
                <w:color w:val="000000"/>
                <w:lang w:eastAsia="pl-PL"/>
              </w:rPr>
              <w:t>Sprzedaż detaliczna prowadzona w niewyspecjalizowanych sklepach z przewagą żywności, napojów i wyrobów tytoniowych</w:t>
            </w:r>
          </w:p>
        </w:tc>
        <w:tc>
          <w:tcPr>
            <w:tcW w:w="9072" w:type="dxa"/>
          </w:tcPr>
          <w:p w:rsidR="0068197B" w:rsidRPr="0068197B" w:rsidRDefault="0068197B" w:rsidP="00681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bookmarkStart w:id="0" w:name="47.11.Z"/>
            <w:r w:rsidRPr="006819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Podklasa ta obejmuje sprzedaż detaliczną różnego rodzaju towarów, wśród których przeważa żywność, napoje i wyroby tytoniowe.</w:t>
            </w:r>
          </w:p>
          <w:p w:rsidR="0068197B" w:rsidRPr="0068197B" w:rsidRDefault="0068197B" w:rsidP="0068197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pl-PL"/>
              </w:rPr>
            </w:pPr>
            <w:r w:rsidRPr="006819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Poza sprzedażą ww. artykułów jako głównej działalności handlowej, prowadzi się także sprzedaż innych towarów, takich jak: odzież, meble, urządzenia gospodarstwa domowego, artykuły metalowe, kosmetyki itp.</w:t>
            </w:r>
            <w:bookmarkEnd w:id="0"/>
          </w:p>
        </w:tc>
      </w:tr>
      <w:tr w:rsidR="0068197B" w:rsidRPr="009A4B61" w:rsidTr="007E516C">
        <w:trPr>
          <w:trHeight w:val="300"/>
        </w:trPr>
        <w:tc>
          <w:tcPr>
            <w:tcW w:w="823" w:type="dxa"/>
            <w:shd w:val="clear" w:color="auto" w:fill="auto"/>
            <w:noWrap/>
          </w:tcPr>
          <w:p w:rsidR="0068197B" w:rsidRPr="0068197B" w:rsidRDefault="0068197B" w:rsidP="005A6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197B">
              <w:rPr>
                <w:rFonts w:ascii="Calibri" w:eastAsia="Times New Roman" w:hAnsi="Calibri" w:cs="Calibri"/>
                <w:color w:val="000000"/>
                <w:lang w:eastAsia="pl-PL"/>
              </w:rPr>
              <w:t>47.19.Z</w:t>
            </w:r>
          </w:p>
        </w:tc>
        <w:tc>
          <w:tcPr>
            <w:tcW w:w="4559" w:type="dxa"/>
            <w:shd w:val="clear" w:color="auto" w:fill="auto"/>
            <w:noWrap/>
          </w:tcPr>
          <w:p w:rsidR="0068197B" w:rsidRPr="0068197B" w:rsidRDefault="0068197B" w:rsidP="005A62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197B">
              <w:rPr>
                <w:rFonts w:ascii="Calibri" w:eastAsia="Times New Roman" w:hAnsi="Calibri" w:cs="Calibri"/>
                <w:color w:val="000000"/>
                <w:lang w:eastAsia="pl-PL"/>
              </w:rPr>
              <w:t>Pozostała sprzedaż detaliczna prowadzona w niewyspecjalizowanych sklepach</w:t>
            </w:r>
          </w:p>
        </w:tc>
        <w:tc>
          <w:tcPr>
            <w:tcW w:w="9072" w:type="dxa"/>
          </w:tcPr>
          <w:p w:rsidR="0068197B" w:rsidRPr="0068197B" w:rsidRDefault="0068197B" w:rsidP="00681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bookmarkStart w:id="1" w:name="47.19.Z"/>
            <w:r w:rsidRPr="006819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Podklasa ta obejmuje:</w:t>
            </w:r>
          </w:p>
          <w:p w:rsidR="0068197B" w:rsidRPr="0068197B" w:rsidRDefault="0068197B" w:rsidP="00681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6819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sprzedaż detaliczną różnego rodzaju towarów, wśród których żywność, napoje i wyroby tytoniowe nie zajmują dominującej pozycji,</w:t>
            </w:r>
          </w:p>
          <w:p w:rsidR="0068197B" w:rsidRPr="0068197B" w:rsidRDefault="0068197B" w:rsidP="006819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- </w:t>
            </w:r>
            <w:r w:rsidRPr="006819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działalność domów towarowych prowadzących sprzedaż towarów, takich jak: odzież, meble, urządzenia gospodarstwa domowego, artykuły metalowe, kosmetyki, biżuteria, zabawki, artykuły sportowe itp.</w:t>
            </w:r>
            <w:bookmarkStart w:id="2" w:name="_GoBack"/>
            <w:bookmarkEnd w:id="1"/>
            <w:bookmarkEnd w:id="2"/>
          </w:p>
        </w:tc>
      </w:tr>
    </w:tbl>
    <w:p w:rsidR="00F10AF9" w:rsidRDefault="00F10AF9"/>
    <w:sectPr w:rsidR="00F10AF9" w:rsidSect="007E516C">
      <w:headerReference w:type="even" r:id="rId7"/>
      <w:headerReference w:type="default" r:id="rId8"/>
      <w:headerReference w:type="first" r:id="rId9"/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64C" w:rsidRDefault="0096364C" w:rsidP="007E516C">
      <w:pPr>
        <w:spacing w:after="0" w:line="240" w:lineRule="auto"/>
      </w:pPr>
      <w:r>
        <w:separator/>
      </w:r>
    </w:p>
  </w:endnote>
  <w:endnote w:type="continuationSeparator" w:id="0">
    <w:p w:rsidR="0096364C" w:rsidRDefault="0096364C" w:rsidP="007E5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64C" w:rsidRDefault="0096364C" w:rsidP="007E516C">
      <w:pPr>
        <w:spacing w:after="0" w:line="240" w:lineRule="auto"/>
      </w:pPr>
      <w:r>
        <w:separator/>
      </w:r>
    </w:p>
  </w:footnote>
  <w:footnote w:type="continuationSeparator" w:id="0">
    <w:p w:rsidR="0096364C" w:rsidRDefault="0096364C" w:rsidP="007E5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16C" w:rsidRDefault="0096364C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91.75pt;height:177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POZYCJ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16C" w:rsidRDefault="0096364C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91.75pt;height:177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POZYCJ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16C" w:rsidRDefault="0096364C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91.75pt;height:177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POZYCJ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71744"/>
    <w:multiLevelType w:val="multilevel"/>
    <w:tmpl w:val="642A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61"/>
    <w:rsid w:val="0037071F"/>
    <w:rsid w:val="005A62D7"/>
    <w:rsid w:val="00644E1B"/>
    <w:rsid w:val="0068197B"/>
    <w:rsid w:val="007E516C"/>
    <w:rsid w:val="0096364C"/>
    <w:rsid w:val="009A4B61"/>
    <w:rsid w:val="00F1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5C1A09D-5CE0-4481-84E8-96D8A50C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5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16C"/>
  </w:style>
  <w:style w:type="paragraph" w:styleId="Stopka">
    <w:name w:val="footer"/>
    <w:basedOn w:val="Normalny"/>
    <w:link w:val="StopkaZnak"/>
    <w:uiPriority w:val="99"/>
    <w:unhideWhenUsed/>
    <w:rsid w:val="007E5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516C"/>
  </w:style>
  <w:style w:type="paragraph" w:styleId="NormalnyWeb">
    <w:name w:val="Normal (Web)"/>
    <w:basedOn w:val="Normalny"/>
    <w:uiPriority w:val="99"/>
    <w:unhideWhenUsed/>
    <w:rsid w:val="0068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1436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10032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</dc:creator>
  <cp:keywords/>
  <dc:description/>
  <cp:lastModifiedBy>DW</cp:lastModifiedBy>
  <cp:revision>3</cp:revision>
  <dcterms:created xsi:type="dcterms:W3CDTF">2017-02-14T14:22:00Z</dcterms:created>
  <dcterms:modified xsi:type="dcterms:W3CDTF">2018-09-05T10:13:00Z</dcterms:modified>
</cp:coreProperties>
</file>